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547A" w14:textId="77777777" w:rsidR="0039133C" w:rsidRPr="0006485A"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28"/>
          <w:szCs w:val="28"/>
          <w:lang w:eastAsia="de-DE"/>
        </w:rPr>
      </w:pPr>
      <w:r>
        <w:rPr>
          <w:rFonts w:eastAsia="Times New Roman" w:cstheme="minorHAnsi"/>
          <w:b/>
          <w:sz w:val="28"/>
          <w:szCs w:val="28"/>
          <w:lang w:eastAsia="de-DE"/>
        </w:rPr>
        <w:t xml:space="preserve">Nr. 4 </w:t>
      </w:r>
      <w:r w:rsidRPr="0006485A">
        <w:rPr>
          <w:rFonts w:eastAsia="Times New Roman" w:cstheme="minorHAnsi"/>
          <w:b/>
          <w:sz w:val="28"/>
          <w:szCs w:val="28"/>
          <w:lang w:eastAsia="de-DE"/>
        </w:rPr>
        <w:t>Die oberste Mühle/Offergeldmühle</w:t>
      </w:r>
      <w:r>
        <w:rPr>
          <w:rFonts w:eastAsia="Times New Roman" w:cstheme="minorHAnsi"/>
          <w:b/>
          <w:sz w:val="28"/>
          <w:szCs w:val="28"/>
          <w:lang w:eastAsia="de-DE"/>
        </w:rPr>
        <w:t xml:space="preserve"> (Langfassung)</w:t>
      </w:r>
    </w:p>
    <w:p w14:paraId="65E787E3" w14:textId="77777777" w:rsidR="0039133C"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lang w:eastAsia="de-DE"/>
        </w:rPr>
      </w:pPr>
    </w:p>
    <w:p w14:paraId="7E54F8CF" w14:textId="77777777" w:rsidR="0039133C" w:rsidRPr="00C03845"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lang w:eastAsia="de-DE"/>
        </w:rPr>
      </w:pPr>
      <w:r>
        <w:rPr>
          <w:rFonts w:eastAsia="Times New Roman" w:cstheme="minorHAnsi"/>
          <w:lang w:eastAsia="de-DE"/>
        </w:rPr>
        <w:t>Die oberste/obere Mühle wird nach dem letzten Betreiber auch „Offergeldmühle“ benannt</w:t>
      </w:r>
    </w:p>
    <w:p w14:paraId="1CDA2C3D"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78DFF08E"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 xml:space="preserve">Schon 1343 ist von einem Pachtzins an der obersten Kornmühle in Brachelen die Rede. Dabei wird angenommen, ohne dass es eine genaue Beschreibung des Standortes gibt, dass es um die spätere Offergeldmühle gehandelt haben muss. </w:t>
      </w:r>
    </w:p>
    <w:p w14:paraId="421C73F8"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5899B8A6"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Auch sie wurde als unterschlächtige Mühle betrieben. Die Wasserkraft an dieser Stelle des Baches betrug 46 PS.</w:t>
      </w:r>
    </w:p>
    <w:p w14:paraId="1C4DA40E"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699B6834"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Sie wurde ursprünglich als Korn- und zwischenzeitlich als Fruchtmühle betrieben.</w:t>
      </w:r>
    </w:p>
    <w:p w14:paraId="09F978CC"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Die Mühle stand ursprünglich im Eigentum des Landesherren, der sie an einen Erb- oder Zeitpächter verpachtete, der sie wiederum in der Regel an einen Müller weiterverpachtete.</w:t>
      </w:r>
    </w:p>
    <w:p w14:paraId="429BDEC9"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Zunächst gab es unterschiedliche Zeitpächter. Die regelmäßige Pachtzeit betrug dabei sechs oder zwölf Jahre</w:t>
      </w:r>
    </w:p>
    <w:p w14:paraId="70BE9318"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Aufgrund Geldknappheit kam Arnold von Gruithausen (s. Haus Blumenthal) auch in den Genuss, Erbpächter der oberen Mühle zu werden, da die Rentkammer Heinsberg so seine finanziellen Ansprüche bedienen konnte. Von Gruithausen war damit im 17.Jhd der größte Mühlenbesitzer im heutigen Stadtgebiet Hückelhoven, da er daneben eine Papiermühle, eine Walk- und Schneidemühle wie auch die untere Mühle „besaß“.</w:t>
      </w:r>
    </w:p>
    <w:p w14:paraId="5A1DE3E6"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noProof/>
          <w:lang w:eastAsia="de-DE"/>
        </w:rPr>
        <mc:AlternateContent>
          <mc:Choice Requires="wps">
            <w:drawing>
              <wp:anchor distT="0" distB="0" distL="114300" distR="114300" simplePos="0" relativeHeight="251659264" behindDoc="0" locked="0" layoutInCell="0" allowOverlap="1" wp14:anchorId="5569A0CF" wp14:editId="504AF778">
                <wp:simplePos x="0" y="0"/>
                <wp:positionH relativeFrom="margin">
                  <wp:posOffset>4288155</wp:posOffset>
                </wp:positionH>
                <wp:positionV relativeFrom="page">
                  <wp:posOffset>4813300</wp:posOffset>
                </wp:positionV>
                <wp:extent cx="2165350" cy="16650335"/>
                <wp:effectExtent l="57150" t="323850" r="286385" b="56515"/>
                <wp:wrapSquare wrapText="bothSides"/>
                <wp:docPr id="700" name="Rechteck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4765" cy="16650335"/>
                        </a:xfrm>
                        <a:prstGeom prst="rect">
                          <a:avLst/>
                        </a:prstGeom>
                        <a:solidFill>
                          <a:srgbClr val="A7BFDE">
                            <a:alpha val="20000"/>
                          </a:srgbClr>
                        </a:solidFill>
                        <a:effectLst>
                          <a:outerShdw dist="359659" dir="18728256" sx="100100" sy="100100" algn="ctr" rotWithShape="0">
                            <a:srgbClr val="D4CFB3">
                              <a:alpha val="50000"/>
                            </a:srgbClr>
                          </a:outerShdw>
                        </a:effectLst>
                        <a:scene3d>
                          <a:camera prst="orthographicFront"/>
                          <a:lightRig rig="threePt" dir="t"/>
                        </a:scene3d>
                        <a:sp3d>
                          <a:bevelT/>
                        </a:sp3d>
                        <a:extLst>
                          <a:ext uri="{91240B29-F687-4F45-9708-019B960494DF}">
                            <a14:hiddenLine xmlns:a14="http://schemas.microsoft.com/office/drawing/2010/main" w="9525">
                              <a:solidFill>
                                <a:srgbClr val="000000"/>
                              </a:solidFill>
                              <a:miter lim="800000"/>
                              <a:headEnd/>
                              <a:tailEnd/>
                            </a14:hiddenLine>
                          </a:ext>
                        </a:extLst>
                      </wps:spPr>
                      <wps:txbx>
                        <w:txbxContent>
                          <w:p w14:paraId="669CAC59" w14:textId="77777777" w:rsidR="0039133C" w:rsidRDefault="0039133C" w:rsidP="0039133C">
                            <w:pPr>
                              <w:spacing w:line="240" w:lineRule="auto"/>
                              <w:rPr>
                                <w:b/>
                                <w:bCs/>
                                <w:i/>
                                <w:iCs/>
                                <w:vanish/>
                                <w:color w:val="1F497D" w:themeColor="text2"/>
                                <w:sz w:val="16"/>
                                <w:szCs w:val="16"/>
                              </w:rPr>
                            </w:pPr>
                            <w:r>
                              <w:rPr>
                                <w:b/>
                                <w:bCs/>
                                <w:i/>
                                <w:iCs/>
                                <w:vanish/>
                                <w:color w:val="1F497D" w:themeColor="text2"/>
                                <w:sz w:val="16"/>
                                <w:szCs w:val="16"/>
                              </w:rPr>
                              <w:t>aus Mittelalter Lexikon, der freien Wissensdatenbank</w:t>
                            </w:r>
                          </w:p>
                          <w:p w14:paraId="238CB7C9" w14:textId="77777777" w:rsidR="0039133C" w:rsidRDefault="0039133C" w:rsidP="0039133C">
                            <w:pPr>
                              <w:spacing w:line="240" w:lineRule="auto"/>
                              <w:rPr>
                                <w:i/>
                                <w:iCs/>
                                <w:color w:val="1F497D" w:themeColor="text2"/>
                                <w:sz w:val="16"/>
                                <w:szCs w:val="16"/>
                              </w:rPr>
                            </w:pPr>
                            <w:r>
                              <w:rPr>
                                <w:b/>
                                <w:bCs/>
                                <w:i/>
                                <w:iCs/>
                                <w:color w:val="1F497D" w:themeColor="text2"/>
                                <w:sz w:val="16"/>
                                <w:szCs w:val="16"/>
                              </w:rPr>
                              <w:t>Ölmühlen</w:t>
                            </w:r>
                            <w:r>
                              <w:rPr>
                                <w:i/>
                                <w:iCs/>
                                <w:color w:val="1F497D" w:themeColor="text2"/>
                                <w:sz w:val="16"/>
                                <w:szCs w:val="16"/>
                              </w:rPr>
                              <w:t>. Zur Gewinnung pflanzlicher Öle wurden vom 14. Jhd. an mittels Wasserkraft betriebene Ölmühlen eingerichtet, in denen das Mahlgut (z.B. Raps-, Hanf-, Lein-, Rübsen- oder Mohnsamen, Bucheckern, Nüssen, Trauben- und Sonneblumenkernen) im Kollergang oder in Stampfen geschrotet wurde. Dabei wurde die mehrschichtige Schale und das Stützgerüst der Samenkörner zerstört. Die so entstandene Masse kam anschließend in die Ölpresse. Der Pressrückstand (Ölkuchen) wurde zerbrochen, noch einmal zermahlen und nach Erwärmen abermals ausgepresst. Danach wurde er als Viehfutter verwertet, enthielt er doch noch ca. 5% des ursprünglichen Fett, dazu Eiweiß und Kohlehydrate. Olmühlen verarbeiteten nicht selten auch anderes Mahlgut.</w:t>
                            </w:r>
                            <w:r>
                              <w:rPr>
                                <w:i/>
                                <w:iCs/>
                                <w:color w:val="1F497D" w:themeColor="text2"/>
                                <w:sz w:val="16"/>
                                <w:szCs w:val="16"/>
                              </w:rPr>
                              <w:br/>
                              <w:t>Das Gewerbe der Öler (Ölschläger, -stampfer, -müller) stand in enger Beziehung zu dem der Seifensieder und Kerzenmacher. Nicht selten brachten es Öler zu Reichtum und Ansehen. Das pflanzliche Öl diente als Küchenfett, zur Herstellung von Salben, als Brennstoff für Öllampen, zum geschmeidig- und wasserfestmachen von Leder und Wolle, zur Seifenherstellung u.a.m.</w:t>
                            </w:r>
                            <w:r>
                              <w:rPr>
                                <w:i/>
                                <w:iCs/>
                                <w:color w:val="1F497D" w:themeColor="text2"/>
                                <w:sz w:val="16"/>
                                <w:szCs w:val="16"/>
                              </w:rPr>
                              <w:br/>
                              <w:t>Ölpressen (mhd. ölslahe) gehörten meist dem Typ „Keilpressen“ an, d.h. der nötige Druck auf den Pressstempel wurde</w:t>
                            </w:r>
                            <w:r>
                              <w:rPr>
                                <w:i/>
                                <w:iCs/>
                                <w:color w:val="1F497D" w:themeColor="text2"/>
                              </w:rPr>
                              <w:t xml:space="preserve"> </w:t>
                            </w:r>
                            <w:r>
                              <w:rPr>
                                <w:i/>
                                <w:iCs/>
                                <w:color w:val="1F497D" w:themeColor="text2"/>
                                <w:sz w:val="16"/>
                                <w:szCs w:val="16"/>
                              </w:rPr>
                              <w:t>durch Einschlagen von Holzkeilen erzeugt. (Auf das</w:t>
                            </w:r>
                            <w:r>
                              <w:rPr>
                                <w:i/>
                                <w:iCs/>
                                <w:color w:val="1F497D" w:themeColor="text2"/>
                              </w:rPr>
                              <w:t xml:space="preserve"> </w:t>
                            </w:r>
                            <w:r>
                              <w:rPr>
                                <w:i/>
                                <w:iCs/>
                                <w:color w:val="1F497D" w:themeColor="text2"/>
                                <w:sz w:val="16"/>
                                <w:szCs w:val="16"/>
                              </w:rPr>
                              <w:t>„Schlagen“ von Öl weisen Familiennamen wie Öl-, Ohlig-, Ohlenschläger hin.)</w:t>
                            </w:r>
                          </w:p>
                        </w:txbxContent>
                      </wps:txbx>
                      <wps:bodyPr rot="0" vert="horz" wrap="square" lIns="365760" tIns="91440" rIns="182880" bIns="365760" anchor="t" anchorCtr="0" upright="1">
                        <a:noAutofit/>
                      </wps:bodyPr>
                    </wps:wsp>
                  </a:graphicData>
                </a:graphic>
                <wp14:sizeRelH relativeFrom="page">
                  <wp14:pctWidth>33000</wp14:pctWidth>
                </wp14:sizeRelH>
                <wp14:sizeRelV relativeFrom="page">
                  <wp14:pctHeight>0</wp14:pctHeight>
                </wp14:sizeRelV>
              </wp:anchor>
            </w:drawing>
          </mc:Choice>
          <mc:Fallback>
            <w:pict>
              <v:rect w14:anchorId="5569A0CF" id="Rechteck 700" o:spid="_x0000_s1026" style="position:absolute;margin-left:337.65pt;margin-top:379pt;width:170.5pt;height:1311.05pt;z-index:251659264;visibility:visible;mso-wrap-style:square;mso-width-percent:330;mso-height-percent:0;mso-wrap-distance-left:9pt;mso-wrap-distance-top:0;mso-wrap-distance-right:9pt;mso-wrap-distance-bottom:0;mso-position-horizontal:absolute;mso-position-horizontal-relative:margin;mso-position-vertical:absolute;mso-position-vertical-relative:page;mso-width-percent:33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" o:allowincell="f" fillcolor="#a7bfde" stroked="f">
                <v:fill opacity="13107f"/>
                <v:shadow on="t" type="perspective" color="#d4cfb3" opacity=".5" offset="19pt,-21pt" matrix="65602f,,,65602f"/>
                <v:textbox inset="28.8pt,7.2pt,14.4pt,28.8pt">
                  <w:txbxContent>
                    <w:p w14:paraId="669CAC59" w14:textId="77777777" w:rsidR="0039133C" w:rsidRDefault="0039133C" w:rsidP="0039133C">
                      <w:pPr>
                        <w:spacing w:line="240" w:lineRule="auto"/>
                        <w:rPr>
                          <w:b/>
                          <w:bCs/>
                          <w:i/>
                          <w:iCs/>
                          <w:vanish/>
                          <w:color w:val="1F497D" w:themeColor="text2"/>
                          <w:sz w:val="16"/>
                          <w:szCs w:val="16"/>
                        </w:rPr>
                      </w:pPr>
                      <w:r>
                        <w:rPr>
                          <w:b/>
                          <w:bCs/>
                          <w:i/>
                          <w:iCs/>
                          <w:vanish/>
                          <w:color w:val="1F497D" w:themeColor="text2"/>
                          <w:sz w:val="16"/>
                          <w:szCs w:val="16"/>
                        </w:rPr>
                        <w:t>aus Mittelalter Lexikon, der freien Wissensdatenbank</w:t>
                      </w:r>
                    </w:p>
                    <w:p w14:paraId="238CB7C9" w14:textId="77777777" w:rsidR="0039133C" w:rsidRDefault="0039133C" w:rsidP="0039133C">
                      <w:pPr>
                        <w:spacing w:line="240" w:lineRule="auto"/>
                        <w:rPr>
                          <w:i/>
                          <w:iCs/>
                          <w:color w:val="1F497D" w:themeColor="text2"/>
                          <w:sz w:val="16"/>
                          <w:szCs w:val="16"/>
                        </w:rPr>
                      </w:pPr>
                      <w:r>
                        <w:rPr>
                          <w:b/>
                          <w:bCs/>
                          <w:i/>
                          <w:iCs/>
                          <w:color w:val="1F497D" w:themeColor="text2"/>
                          <w:sz w:val="16"/>
                          <w:szCs w:val="16"/>
                        </w:rPr>
                        <w:t>Ölmühlen</w:t>
                      </w:r>
                      <w:r>
                        <w:rPr>
                          <w:i/>
                          <w:iCs/>
                          <w:color w:val="1F497D" w:themeColor="text2"/>
                          <w:sz w:val="16"/>
                          <w:szCs w:val="16"/>
                        </w:rPr>
                        <w:t xml:space="preserve">. Zur Gewinnung pflanzlicher Öle wurden vom 14. Jhd. an mittels Wasserkraft betriebene Ölmühlen eingerichtet, in denen das Mahlgut (z.B. Raps-, Hanf-, Lein-, Rübsen- oder Mohnsamen, Bucheckern, Nüssen, Trauben- und Sonneblumenkernen) im Kollergang oder in Stampfen geschrotet wurde. Dabei wurde die mehrschichtige Schale und das Stützgerüst der Samenkörner zerstört. Die so entstandene Masse kam anschließend in die Ölpresse. Der Pressrückstand (Ölkuchen) wurde zerbrochen, noch einmal zermahlen und nach Erwärmen abermals ausgepresst. Danach wurde er als Viehfutter verwertet, enthielt er doch noch ca. 5% </w:t>
                      </w:r>
                      <w:proofErr w:type="gramStart"/>
                      <w:r>
                        <w:rPr>
                          <w:i/>
                          <w:iCs/>
                          <w:color w:val="1F497D" w:themeColor="text2"/>
                          <w:sz w:val="16"/>
                          <w:szCs w:val="16"/>
                        </w:rPr>
                        <w:t>des ursprünglichen Fett</w:t>
                      </w:r>
                      <w:proofErr w:type="gramEnd"/>
                      <w:r>
                        <w:rPr>
                          <w:i/>
                          <w:iCs/>
                          <w:color w:val="1F497D" w:themeColor="text2"/>
                          <w:sz w:val="16"/>
                          <w:szCs w:val="16"/>
                        </w:rPr>
                        <w:t>, dazu Eiweiß und Kohlehydrate. Olmühlen verarbeiteten nicht selten auch anderes Mahlgut.</w:t>
                      </w:r>
                      <w:r>
                        <w:rPr>
                          <w:i/>
                          <w:iCs/>
                          <w:color w:val="1F497D" w:themeColor="text2"/>
                          <w:sz w:val="16"/>
                          <w:szCs w:val="16"/>
                        </w:rPr>
                        <w:br/>
                        <w:t xml:space="preserve">Das Gewerbe der Öler (Ölschläger, -stampfer, -müller) stand in enger Beziehung zu dem der Seifensieder und Kerzenmacher. Nicht selten brachten es Öler zu Reichtum und Ansehen. Das pflanzliche Öl diente als Küchenfett, zur Herstellung von Salben, als Brennstoff für Öllampen, </w:t>
                      </w:r>
                      <w:proofErr w:type="gramStart"/>
                      <w:r>
                        <w:rPr>
                          <w:i/>
                          <w:iCs/>
                          <w:color w:val="1F497D" w:themeColor="text2"/>
                          <w:sz w:val="16"/>
                          <w:szCs w:val="16"/>
                        </w:rPr>
                        <w:t>zum geschmeidig- und wasserfestmachen</w:t>
                      </w:r>
                      <w:proofErr w:type="gramEnd"/>
                      <w:r>
                        <w:rPr>
                          <w:i/>
                          <w:iCs/>
                          <w:color w:val="1F497D" w:themeColor="text2"/>
                          <w:sz w:val="16"/>
                          <w:szCs w:val="16"/>
                        </w:rPr>
                        <w:t xml:space="preserve"> von Leder und Wolle, zur Seifenherstellung u.a.m.</w:t>
                      </w:r>
                      <w:r>
                        <w:rPr>
                          <w:i/>
                          <w:iCs/>
                          <w:color w:val="1F497D" w:themeColor="text2"/>
                          <w:sz w:val="16"/>
                          <w:szCs w:val="16"/>
                        </w:rPr>
                        <w:br/>
                        <w:t>Ölpressen (mhd. ölslahe) gehörten meist dem Typ „Keilpressen“ an, d.h. der nötige Druck auf den Pressstempel wurde</w:t>
                      </w:r>
                      <w:r>
                        <w:rPr>
                          <w:i/>
                          <w:iCs/>
                          <w:color w:val="1F497D" w:themeColor="text2"/>
                        </w:rPr>
                        <w:t xml:space="preserve"> </w:t>
                      </w:r>
                      <w:r>
                        <w:rPr>
                          <w:i/>
                          <w:iCs/>
                          <w:color w:val="1F497D" w:themeColor="text2"/>
                          <w:sz w:val="16"/>
                          <w:szCs w:val="16"/>
                        </w:rPr>
                        <w:t>durch Einschlagen von Holzkeilen erzeugt. (Auf das</w:t>
                      </w:r>
                      <w:r>
                        <w:rPr>
                          <w:i/>
                          <w:iCs/>
                          <w:color w:val="1F497D" w:themeColor="text2"/>
                        </w:rPr>
                        <w:t xml:space="preserve"> </w:t>
                      </w:r>
                      <w:r>
                        <w:rPr>
                          <w:i/>
                          <w:iCs/>
                          <w:color w:val="1F497D" w:themeColor="text2"/>
                          <w:sz w:val="16"/>
                          <w:szCs w:val="16"/>
                        </w:rPr>
                        <w:t>„Schlagen“ von Öl weisen Familiennamen wie Öl-, Ohlig-, Ohlenschläger hin.)</w:t>
                      </w:r>
                    </w:p>
                  </w:txbxContent>
                </v:textbox>
                <w10:wrap type="square" anchorx="margin" anchory="page"/>
              </v:rect>
            </w:pict>
          </mc:Fallback>
        </mc:AlternateContent>
      </w:r>
      <w:r w:rsidRPr="003E5321">
        <w:rPr>
          <w:rFonts w:eastAsia="Times New Roman" w:cstheme="minorHAnsi"/>
          <w:lang w:eastAsia="de-DE"/>
        </w:rPr>
        <w:t xml:space="preserve">Im 19. Jahrhundert findet sich für diese Mühle die Bezeichnung Kampsmühle und Spickernagelmühle. Eigentümer war auch die Familie Francken, die die Mühle im Jahre 1919 an die Firma Offergeld aus Koslar für 65000 DM verkaufte, die die Mühle bis 1962 betrieben. Das vierstöckige Silo der Mühle steht heute noch. </w:t>
      </w:r>
    </w:p>
    <w:p w14:paraId="47BCC2D9"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Die Mühle versorgte nicht nur Großhändler; Bäckereien und Tiermastbetrieben. Vielmehr kaufte auch die normale Familie hier das Mehl, um den eigenen Bedarf an Brot zu decken. Entweder hatte man bereits selbst einen Backofen, oder man ließ, beispielsweise in der Bäckerei Hötz gegen Entgelt „abbacken“.</w:t>
      </w:r>
    </w:p>
    <w:p w14:paraId="2F8BE5EF"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Nach der Stilllegung wurde das Gelände an eine Familie Krieger aus Brachelen verkauft. Jetzige Eigentümerin ist die Familie Kempel.</w:t>
      </w:r>
    </w:p>
    <w:p w14:paraId="2500D944"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72B64AD9" w14:textId="08A6301A" w:rsidR="0039133C"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56624F6E" w14:textId="77777777" w:rsidR="0039133C"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148E1EAF" w14:textId="77777777" w:rsidR="0039133C"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2B3BCC62" w14:textId="77777777" w:rsidR="0039133C"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301C96E8"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53D60AD0" w14:textId="77777777" w:rsidR="0039133C" w:rsidRPr="003E5321" w:rsidRDefault="0039133C" w:rsidP="0039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p>
    <w:p w14:paraId="1C346513" w14:textId="77777777" w:rsidR="008C04FE" w:rsidRDefault="008C04FE"/>
    <w:sectPr w:rsidR="008C04FE" w:rsidSect="003913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3C"/>
    <w:rsid w:val="0039133C"/>
    <w:rsid w:val="0086286E"/>
    <w:rsid w:val="00865B60"/>
    <w:rsid w:val="008C04FE"/>
    <w:rsid w:val="00906F5D"/>
    <w:rsid w:val="009C158F"/>
    <w:rsid w:val="00B72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46CB"/>
  <w15:chartTrackingRefBased/>
  <w15:docId w15:val="{3E6341D7-A723-430B-AAC5-4ED7F45F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133C"/>
    <w:rPr>
      <w:kern w:val="0"/>
      <w14:ligatures w14:val="none"/>
    </w:rPr>
  </w:style>
  <w:style w:type="paragraph" w:styleId="berschrift1">
    <w:name w:val="heading 1"/>
    <w:basedOn w:val="Standard"/>
    <w:next w:val="Standard"/>
    <w:link w:val="berschrift1Zchn"/>
    <w:uiPriority w:val="9"/>
    <w:qFormat/>
    <w:rsid w:val="0039133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39133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39133C"/>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39133C"/>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39133C"/>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39133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9133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9133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9133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9133C"/>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39133C"/>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39133C"/>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39133C"/>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39133C"/>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3913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913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913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9133C"/>
    <w:rPr>
      <w:rFonts w:eastAsiaTheme="majorEastAsia" w:cstheme="majorBidi"/>
      <w:color w:val="272727" w:themeColor="text1" w:themeTint="D8"/>
    </w:rPr>
  </w:style>
  <w:style w:type="paragraph" w:styleId="Titel">
    <w:name w:val="Title"/>
    <w:basedOn w:val="Standard"/>
    <w:next w:val="Standard"/>
    <w:link w:val="TitelZchn"/>
    <w:uiPriority w:val="10"/>
    <w:qFormat/>
    <w:rsid w:val="00391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913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9133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913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9133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9133C"/>
    <w:rPr>
      <w:i/>
      <w:iCs/>
      <w:color w:val="404040" w:themeColor="text1" w:themeTint="BF"/>
    </w:rPr>
  </w:style>
  <w:style w:type="paragraph" w:styleId="Listenabsatz">
    <w:name w:val="List Paragraph"/>
    <w:basedOn w:val="Standard"/>
    <w:uiPriority w:val="34"/>
    <w:qFormat/>
    <w:rsid w:val="0039133C"/>
    <w:pPr>
      <w:ind w:left="720"/>
      <w:contextualSpacing/>
    </w:pPr>
  </w:style>
  <w:style w:type="character" w:styleId="IntensiveHervorhebung">
    <w:name w:val="Intense Emphasis"/>
    <w:basedOn w:val="Absatz-Standardschriftart"/>
    <w:uiPriority w:val="21"/>
    <w:qFormat/>
    <w:rsid w:val="0039133C"/>
    <w:rPr>
      <w:i/>
      <w:iCs/>
      <w:color w:val="365F91" w:themeColor="accent1" w:themeShade="BF"/>
    </w:rPr>
  </w:style>
  <w:style w:type="paragraph" w:styleId="IntensivesZitat">
    <w:name w:val="Intense Quote"/>
    <w:basedOn w:val="Standard"/>
    <w:next w:val="Standard"/>
    <w:link w:val="IntensivesZitatZchn"/>
    <w:uiPriority w:val="30"/>
    <w:qFormat/>
    <w:rsid w:val="003913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39133C"/>
    <w:rPr>
      <w:i/>
      <w:iCs/>
      <w:color w:val="365F91" w:themeColor="accent1" w:themeShade="BF"/>
    </w:rPr>
  </w:style>
  <w:style w:type="character" w:styleId="IntensiverVerweis">
    <w:name w:val="Intense Reference"/>
    <w:basedOn w:val="Absatz-Standardschriftart"/>
    <w:uiPriority w:val="32"/>
    <w:qFormat/>
    <w:rsid w:val="0039133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1727</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Küsgens</dc:creator>
  <cp:keywords/>
  <dc:description/>
  <cp:lastModifiedBy>Dr. Michael Küsgens</cp:lastModifiedBy>
  <cp:revision>2</cp:revision>
  <dcterms:created xsi:type="dcterms:W3CDTF">2026-07-04T17:03:00Z</dcterms:created>
  <dcterms:modified xsi:type="dcterms:W3CDTF">2026-07-12T19:28:00Z</dcterms:modified>
</cp:coreProperties>
</file>